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附件5</w:t>
      </w:r>
    </w:p>
    <w:p>
      <w:pPr>
        <w:spacing w:afterLines="50"/>
        <w:jc w:val="center"/>
        <w:rPr>
          <w:rFonts w:ascii="方正小标宋简体" w:hAnsi="宋体" w:eastAsia="方正小标宋简体"/>
          <w:color w:val="444444"/>
          <w:sz w:val="16"/>
        </w:rPr>
      </w:pPr>
      <w:r>
        <w:rPr>
          <w:rFonts w:hint="eastAsia" w:ascii="方正小标宋简体" w:eastAsia="方正小标宋简体"/>
          <w:sz w:val="36"/>
        </w:rPr>
        <w:t>民办非企业单位塑造品牌参考标准</w:t>
      </w:r>
      <w:r>
        <w:rPr>
          <w:rFonts w:hint="eastAsia" w:ascii="方正小标宋简体" w:hAnsi="仿宋" w:eastAsia="方正小标宋简体"/>
        </w:rPr>
        <w:t>　</w:t>
      </w:r>
    </w:p>
    <w:tbl>
      <w:tblPr>
        <w:tblStyle w:val="2"/>
        <w:tblW w:w="8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5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品牌建设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组织自身建设符合规范化建设评估相关要求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组织宗旨、使命明确，有清晰的组织发展战略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有较为详细的品牌塑造计划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已申请注册服务商标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围绕品牌建设形成服务特色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组织理念、商标、标识充分体现品牌建设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诚信度和公信力高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围绕品牌建设开展组织文化建设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服务能力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在同行业中确立领先地位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服务效果好，在本地区具备较高知晓度和美誉度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承接政府转移职能，接受政府购买服务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业务活动开展合法、合规，社会效益良好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服务和收费标准合规、合理、公开、透明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开展集团化（或连锁）服务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服务规范化、标准化，申请ISO服务体系认证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工作人员职业化专业化水平高、服务能力强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品牌宣传与</w:t>
            </w:r>
          </w:p>
          <w:p>
            <w:pPr>
              <w:autoSpaceDN w:val="0"/>
              <w:spacing w:line="300" w:lineRule="atLeas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社会评价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积极在相关媒体进行品牌宣传推广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积极参与各类公益活动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组织字号、商标、标识等品牌元素的社会认知度高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服务对象评价良好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社会公众评价良好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登记管理机关年检合格、评估等级较高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行业管理部门评估、评价情况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atLeas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　　获得各类表彰、荣誉情况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26"/>
    <w:rsid w:val="001D1D26"/>
    <w:rsid w:val="00BA1FAB"/>
    <w:rsid w:val="130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2018-03-04T05:20:00Z</dcterms:created>
  <dc:creator>虞后兵</dc:creator>
  <cp:lastModifiedBy>My糖</cp:lastModifiedBy>
  <dcterms:modified xsi:type="dcterms:W3CDTF">2019-03-18T02:58:26Z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